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6F99" w14:textId="0A92D776" w:rsidR="00997FCD" w:rsidRPr="00997FCD" w:rsidRDefault="00997FCD" w:rsidP="00997FCD">
      <w:pPr>
        <w:rPr>
          <w:sz w:val="24"/>
          <w:szCs w:val="24"/>
        </w:rPr>
      </w:pPr>
      <w:r w:rsidRPr="00997FCD">
        <w:rPr>
          <w:sz w:val="24"/>
          <w:szCs w:val="24"/>
        </w:rPr>
        <w:t xml:space="preserve">Muster </w:t>
      </w:r>
      <w:proofErr w:type="spellStart"/>
      <w:r w:rsidRPr="00997FCD">
        <w:rPr>
          <w:sz w:val="24"/>
          <w:szCs w:val="24"/>
        </w:rPr>
        <w:t>Muster</w:t>
      </w:r>
      <w:proofErr w:type="spellEnd"/>
    </w:p>
    <w:p w14:paraId="17EBDCAD" w14:textId="0AFF32AF" w:rsidR="00997FCD" w:rsidRPr="00997FCD" w:rsidRDefault="00DC6521" w:rsidP="00997FCD">
      <w:pPr>
        <w:rPr>
          <w:sz w:val="24"/>
          <w:szCs w:val="24"/>
        </w:rPr>
      </w:pPr>
      <w:r>
        <w:rPr>
          <w:sz w:val="24"/>
          <w:szCs w:val="24"/>
        </w:rPr>
        <w:t>Muster</w:t>
      </w:r>
      <w:r w:rsidR="00997FCD" w:rsidRPr="00997FCD">
        <w:rPr>
          <w:sz w:val="24"/>
          <w:szCs w:val="24"/>
        </w:rPr>
        <w:t>strass 10</w:t>
      </w:r>
    </w:p>
    <w:p w14:paraId="13C48E1A" w14:textId="3E1DAEBA" w:rsidR="00997FCD" w:rsidRPr="00997FCD" w:rsidRDefault="00DC6521" w:rsidP="00997FCD">
      <w:pPr>
        <w:rPr>
          <w:sz w:val="24"/>
          <w:szCs w:val="24"/>
        </w:rPr>
      </w:pPr>
      <w:r>
        <w:rPr>
          <w:sz w:val="24"/>
          <w:szCs w:val="24"/>
        </w:rPr>
        <w:t>1234 Muster</w:t>
      </w:r>
    </w:p>
    <w:p w14:paraId="2115A451" w14:textId="5FFD4ECA" w:rsidR="007D5524" w:rsidRPr="00997FCD" w:rsidRDefault="007D5524" w:rsidP="007D5524">
      <w:pPr>
        <w:ind w:firstLine="4536"/>
        <w:rPr>
          <w:b/>
          <w:bCs/>
          <w:sz w:val="28"/>
          <w:szCs w:val="28"/>
        </w:rPr>
      </w:pPr>
      <w:r w:rsidRPr="00997FCD">
        <w:rPr>
          <w:b/>
          <w:bCs/>
          <w:sz w:val="28"/>
          <w:szCs w:val="28"/>
        </w:rPr>
        <w:t>Amt für Umwelt</w:t>
      </w:r>
    </w:p>
    <w:p w14:paraId="6D9AF8D2" w14:textId="05659185" w:rsidR="007D5524" w:rsidRPr="00997FCD" w:rsidRDefault="00997FCD" w:rsidP="007D5524">
      <w:pPr>
        <w:ind w:firstLine="4536"/>
        <w:rPr>
          <w:b/>
          <w:bCs/>
          <w:sz w:val="28"/>
          <w:szCs w:val="28"/>
        </w:rPr>
      </w:pPr>
      <w:r w:rsidRPr="00997FCD">
        <w:rPr>
          <w:b/>
          <w:bCs/>
          <w:sz w:val="28"/>
          <w:szCs w:val="28"/>
        </w:rPr>
        <w:t>Verwaltungsgebäude Promenade</w:t>
      </w:r>
    </w:p>
    <w:p w14:paraId="3807B8C7" w14:textId="5E469F8C" w:rsidR="00997FCD" w:rsidRPr="00997FCD" w:rsidRDefault="00997FCD" w:rsidP="007D5524">
      <w:pPr>
        <w:ind w:firstLine="4536"/>
        <w:rPr>
          <w:b/>
          <w:bCs/>
          <w:sz w:val="28"/>
          <w:szCs w:val="28"/>
        </w:rPr>
      </w:pPr>
      <w:r w:rsidRPr="00997FCD">
        <w:rPr>
          <w:b/>
          <w:bCs/>
          <w:sz w:val="28"/>
          <w:szCs w:val="28"/>
        </w:rPr>
        <w:t>Postfach</w:t>
      </w:r>
    </w:p>
    <w:p w14:paraId="46FE9158" w14:textId="28E04DCB" w:rsidR="00997FCD" w:rsidRPr="00997FCD" w:rsidRDefault="00997FCD" w:rsidP="007D5524">
      <w:pPr>
        <w:ind w:firstLine="4536"/>
        <w:rPr>
          <w:b/>
          <w:bCs/>
          <w:sz w:val="28"/>
          <w:szCs w:val="28"/>
        </w:rPr>
      </w:pPr>
      <w:r w:rsidRPr="00997FCD">
        <w:rPr>
          <w:b/>
          <w:bCs/>
          <w:sz w:val="28"/>
          <w:szCs w:val="28"/>
        </w:rPr>
        <w:t>8510 Frauenfeld</w:t>
      </w:r>
    </w:p>
    <w:p w14:paraId="7185BC57" w14:textId="77777777" w:rsidR="007D5524" w:rsidRPr="00997FCD" w:rsidRDefault="007D5524" w:rsidP="007D5524">
      <w:pPr>
        <w:ind w:firstLine="4536"/>
        <w:rPr>
          <w:sz w:val="24"/>
          <w:szCs w:val="24"/>
        </w:rPr>
      </w:pPr>
    </w:p>
    <w:p w14:paraId="775ABFED" w14:textId="77777777" w:rsidR="007D5524" w:rsidRDefault="007D5524" w:rsidP="007D5524">
      <w:pPr>
        <w:ind w:firstLine="4536"/>
      </w:pPr>
    </w:p>
    <w:p w14:paraId="68D8389F" w14:textId="7C1B48B7" w:rsidR="00C4651E" w:rsidRDefault="00C4651E" w:rsidP="00C4651E">
      <w:pPr>
        <w:rPr>
          <w:b/>
          <w:bCs/>
          <w:sz w:val="28"/>
          <w:szCs w:val="28"/>
        </w:rPr>
      </w:pPr>
      <w:r w:rsidRPr="00C51E2A">
        <w:rPr>
          <w:b/>
          <w:bCs/>
          <w:sz w:val="28"/>
          <w:szCs w:val="28"/>
        </w:rPr>
        <w:t>Muster-Antworten zur Zusammenarbeits-Charta</w:t>
      </w:r>
      <w:r w:rsidR="007D5524">
        <w:rPr>
          <w:b/>
          <w:bCs/>
          <w:sz w:val="28"/>
          <w:szCs w:val="28"/>
        </w:rPr>
        <w:t xml:space="preserve"> </w:t>
      </w:r>
    </w:p>
    <w:p w14:paraId="1F096735" w14:textId="77777777" w:rsidR="00C51E2A" w:rsidRPr="00C51E2A" w:rsidRDefault="00C51E2A" w:rsidP="00C4651E"/>
    <w:p w14:paraId="2D2AAB0D" w14:textId="0C23A049" w:rsidR="00C51E2A" w:rsidRPr="00C87E8A" w:rsidRDefault="00C51E2A" w:rsidP="00116DBF">
      <w:pPr>
        <w:pStyle w:val="Listenabsatz"/>
        <w:numPr>
          <w:ilvl w:val="0"/>
          <w:numId w:val="1"/>
        </w:numPr>
        <w:tabs>
          <w:tab w:val="left" w:pos="2268"/>
        </w:tabs>
        <w:rPr>
          <w:b/>
          <w:bCs/>
        </w:rPr>
      </w:pPr>
      <w:r w:rsidRPr="00C87E8A">
        <w:rPr>
          <w:b/>
          <w:bCs/>
        </w:rPr>
        <w:t>Seite 1</w:t>
      </w:r>
      <w:r w:rsidR="007B784A" w:rsidRPr="00C87E8A">
        <w:rPr>
          <w:b/>
          <w:bCs/>
        </w:rPr>
        <w:t>,</w:t>
      </w:r>
      <w:r w:rsidRPr="00C87E8A">
        <w:rPr>
          <w:b/>
          <w:bCs/>
        </w:rPr>
        <w:t xml:space="preserve"> Absatz </w:t>
      </w:r>
      <w:r w:rsidR="004222A7" w:rsidRPr="00C87E8A">
        <w:rPr>
          <w:b/>
          <w:bCs/>
        </w:rPr>
        <w:t>«Ausgangslage»</w:t>
      </w:r>
    </w:p>
    <w:p w14:paraId="1513C675" w14:textId="77777777" w:rsidR="004222A7" w:rsidRDefault="004222A7" w:rsidP="00116DBF">
      <w:pPr>
        <w:pStyle w:val="Listenabsatz"/>
        <w:tabs>
          <w:tab w:val="left" w:pos="1701"/>
          <w:tab w:val="left" w:pos="2268"/>
        </w:tabs>
      </w:pPr>
    </w:p>
    <w:p w14:paraId="54C92FA5" w14:textId="4D15E22F" w:rsidR="004222A7" w:rsidRDefault="00116DBF" w:rsidP="00116DBF">
      <w:pPr>
        <w:pStyle w:val="Listenabsatz"/>
        <w:tabs>
          <w:tab w:val="left" w:pos="2268"/>
        </w:tabs>
        <w:ind w:left="2265" w:hanging="1545"/>
      </w:pPr>
      <w:r>
        <w:t xml:space="preserve">Antrag: </w:t>
      </w:r>
      <w:r>
        <w:tab/>
      </w:r>
      <w:r>
        <w:tab/>
      </w:r>
      <w:r w:rsidRPr="00116DBF">
        <w:t>Streichung des Satzes "Gleichzeitig ist eine Revitalisierung der Flusslandschaft für Tiere und Pflanzen nötig."</w:t>
      </w:r>
    </w:p>
    <w:p w14:paraId="216E40D4" w14:textId="77777777" w:rsidR="007B784A" w:rsidRDefault="00116DBF" w:rsidP="00116DBF">
      <w:pPr>
        <w:pStyle w:val="Listenabsatz"/>
        <w:tabs>
          <w:tab w:val="left" w:pos="2268"/>
        </w:tabs>
        <w:ind w:left="1695" w:hanging="975"/>
      </w:pPr>
      <w:r>
        <w:t>Begründung:</w:t>
      </w:r>
      <w:r>
        <w:tab/>
      </w:r>
      <w:r w:rsidR="007B784A" w:rsidRPr="007B784A">
        <w:t>Diese Aussage ist unbegründet und subjektiv.</w:t>
      </w:r>
    </w:p>
    <w:p w14:paraId="74449D6A" w14:textId="77777777" w:rsidR="007B784A" w:rsidRDefault="007B784A" w:rsidP="007B784A">
      <w:pPr>
        <w:tabs>
          <w:tab w:val="left" w:pos="2268"/>
        </w:tabs>
      </w:pPr>
    </w:p>
    <w:p w14:paraId="6BA3C977" w14:textId="77777777" w:rsidR="00911814" w:rsidRPr="00C87E8A" w:rsidRDefault="007B784A" w:rsidP="007B784A">
      <w:pPr>
        <w:pStyle w:val="Listenabsatz"/>
        <w:numPr>
          <w:ilvl w:val="0"/>
          <w:numId w:val="1"/>
        </w:numPr>
        <w:tabs>
          <w:tab w:val="left" w:pos="2268"/>
        </w:tabs>
        <w:rPr>
          <w:b/>
          <w:bCs/>
        </w:rPr>
      </w:pPr>
      <w:r w:rsidRPr="00C87E8A">
        <w:rPr>
          <w:b/>
          <w:bCs/>
        </w:rPr>
        <w:t>Seite 1, Absatz «Präambel»</w:t>
      </w:r>
    </w:p>
    <w:p w14:paraId="6D5A382D" w14:textId="77777777" w:rsidR="00911814" w:rsidRDefault="00911814" w:rsidP="00911814">
      <w:pPr>
        <w:pStyle w:val="Listenabsatz"/>
        <w:tabs>
          <w:tab w:val="left" w:pos="2268"/>
        </w:tabs>
      </w:pPr>
    </w:p>
    <w:p w14:paraId="2A885809" w14:textId="1A4286D9" w:rsidR="00116DBF" w:rsidRDefault="00911814" w:rsidP="00911814">
      <w:pPr>
        <w:pStyle w:val="Listenabsatz"/>
        <w:tabs>
          <w:tab w:val="left" w:pos="2268"/>
        </w:tabs>
        <w:ind w:left="2124" w:hanging="1404"/>
      </w:pPr>
      <w:r>
        <w:t>Antrag:</w:t>
      </w:r>
      <w:r>
        <w:tab/>
      </w:r>
      <w:r w:rsidRPr="00911814">
        <w:t>Ergänzung; ...betroffene Verbände, Vereine, Grundeigentümer und Anstösser bekennen sich mit dieser Charta zu konstruktiver Zusammenarbeit</w:t>
      </w:r>
    </w:p>
    <w:p w14:paraId="67DA5C28" w14:textId="48E14B7C" w:rsidR="00F93B73" w:rsidRDefault="00F93B73" w:rsidP="00F93B73">
      <w:pPr>
        <w:pStyle w:val="Listenabsatz"/>
        <w:tabs>
          <w:tab w:val="left" w:pos="2268"/>
        </w:tabs>
        <w:ind w:left="2124" w:hanging="1404"/>
      </w:pPr>
      <w:r>
        <w:t>Begründung:</w:t>
      </w:r>
      <w:r>
        <w:tab/>
      </w:r>
      <w:r w:rsidRPr="00F93B73">
        <w:t>das Einbinden auch der Grundeigentümer und Anstösser führt zur frühzeitigen Mitwirkung ebenjener und zu umsetzbaren Projekten</w:t>
      </w:r>
    </w:p>
    <w:p w14:paraId="210E5C33" w14:textId="77777777" w:rsidR="00F93B73" w:rsidRDefault="00F93B73" w:rsidP="00F93B73">
      <w:pPr>
        <w:pStyle w:val="Listenabsatz"/>
        <w:tabs>
          <w:tab w:val="left" w:pos="2268"/>
        </w:tabs>
        <w:ind w:left="2124" w:hanging="1404"/>
      </w:pPr>
    </w:p>
    <w:p w14:paraId="2D84548E" w14:textId="64B10EAA" w:rsidR="00F93B73" w:rsidRDefault="002F49C5" w:rsidP="00F93B73">
      <w:pPr>
        <w:pStyle w:val="Listenabsatz"/>
        <w:tabs>
          <w:tab w:val="left" w:pos="2268"/>
        </w:tabs>
        <w:ind w:left="2124" w:hanging="1404"/>
      </w:pPr>
      <w:r>
        <w:t>Antrag:</w:t>
      </w:r>
      <w:r>
        <w:tab/>
      </w:r>
      <w:r w:rsidR="00F9698A" w:rsidRPr="00F9698A">
        <w:t>Ergänzung; ... die Trinkwasserversorgung zu sichern und die Naherholungsgebiete für die Bevölkerung zu erhalten und zu fördern.</w:t>
      </w:r>
    </w:p>
    <w:p w14:paraId="7DB437B1" w14:textId="2E7D60B8" w:rsidR="002F49C5" w:rsidRDefault="002F49C5" w:rsidP="00F93B73">
      <w:pPr>
        <w:pStyle w:val="Listenabsatz"/>
        <w:tabs>
          <w:tab w:val="left" w:pos="2268"/>
        </w:tabs>
        <w:ind w:left="2124" w:hanging="1404"/>
      </w:pPr>
      <w:r>
        <w:t>Begründung:</w:t>
      </w:r>
      <w:r>
        <w:tab/>
      </w:r>
      <w:r w:rsidR="00F9698A" w:rsidRPr="00F9698A">
        <w:t>Es hat sich gezeigt, dass der Ausbau von Biodiversitäts-Förderflächen und Naturschutzgebieten zur lokalen Einschränkung der Bevölkerung führt (siehe Begehungsverbot im Bereich Rohrerbrücke flussaufwärts). Dies ist nicht im S</w:t>
      </w:r>
      <w:r w:rsidR="00F9698A">
        <w:t>i</w:t>
      </w:r>
      <w:r w:rsidR="00F9698A" w:rsidRPr="00F9698A">
        <w:t>nne der Bevölkerung und muss vermieden werden.</w:t>
      </w:r>
    </w:p>
    <w:p w14:paraId="2A5EB445" w14:textId="77777777" w:rsidR="001B37C2" w:rsidRDefault="001B37C2" w:rsidP="00F93B73">
      <w:pPr>
        <w:pStyle w:val="Listenabsatz"/>
        <w:tabs>
          <w:tab w:val="left" w:pos="2268"/>
        </w:tabs>
        <w:ind w:left="2124" w:hanging="1404"/>
      </w:pPr>
    </w:p>
    <w:p w14:paraId="5F2C37C1" w14:textId="549BF6C8" w:rsidR="001B37C2" w:rsidRDefault="001B37C2" w:rsidP="00F93B73">
      <w:pPr>
        <w:pStyle w:val="Listenabsatz"/>
        <w:tabs>
          <w:tab w:val="left" w:pos="2268"/>
        </w:tabs>
        <w:ind w:left="2124" w:hanging="1404"/>
      </w:pPr>
      <w:r>
        <w:t>Antrag:</w:t>
      </w:r>
      <w:r>
        <w:tab/>
      </w:r>
      <w:r w:rsidRPr="001B37C2">
        <w:t>Ergänzung: Der Kanton gewährleistet den Informationsfluss und informiert Grundeigentümer und Anstösser aktiv darüber, was auf regionaler Ebene besprochen wird. Die Grundeigentümer werden aktiv zur Mitwirkung aufgefordert.</w:t>
      </w:r>
    </w:p>
    <w:p w14:paraId="727C0357" w14:textId="3DB44FF6" w:rsidR="001B37C2" w:rsidRDefault="001B37C2" w:rsidP="00F93B73">
      <w:pPr>
        <w:pStyle w:val="Listenabsatz"/>
        <w:tabs>
          <w:tab w:val="left" w:pos="2268"/>
        </w:tabs>
        <w:ind w:left="2124" w:hanging="1404"/>
      </w:pPr>
      <w:r>
        <w:t>Begründung:</w:t>
      </w:r>
      <w:r>
        <w:tab/>
      </w:r>
      <w:r w:rsidR="00C87E8A" w:rsidRPr="00C87E8A">
        <w:t>Die Grundeigentümer sind die mitunter am meisten betroffenen Akteure des Konzeptes Thur+/Thur3. Das frühzeitige Einbinden dieser Gruppe schafft Vertrauen und mindert das Risiko, dass Projekte vorangetrieben werden, welche in letzter Instanz von Grundeigentümern blockiert werden könnten.</w:t>
      </w:r>
    </w:p>
    <w:p w14:paraId="0BDE212A" w14:textId="77777777" w:rsidR="00D444E8" w:rsidRDefault="00D444E8" w:rsidP="00F93B73">
      <w:pPr>
        <w:pStyle w:val="Listenabsatz"/>
        <w:tabs>
          <w:tab w:val="left" w:pos="2268"/>
        </w:tabs>
        <w:ind w:left="2124" w:hanging="1404"/>
      </w:pPr>
    </w:p>
    <w:p w14:paraId="334424FE" w14:textId="34B23F64" w:rsidR="00D444E8" w:rsidRDefault="00D444E8" w:rsidP="00F93B73">
      <w:pPr>
        <w:pStyle w:val="Listenabsatz"/>
        <w:tabs>
          <w:tab w:val="left" w:pos="2268"/>
        </w:tabs>
        <w:ind w:left="2124" w:hanging="1404"/>
      </w:pPr>
      <w:r>
        <w:t>Antrag:</w:t>
      </w:r>
      <w:r>
        <w:tab/>
      </w:r>
      <w:r w:rsidRPr="00D444E8">
        <w:t>Anpassung: ... inhaltlich ausgewogene Lösungen zu erarbeiten.</w:t>
      </w:r>
    </w:p>
    <w:p w14:paraId="47C95B92" w14:textId="41F65C21" w:rsidR="00116DBF" w:rsidRDefault="00D444E8" w:rsidP="00216FAC">
      <w:pPr>
        <w:pStyle w:val="Listenabsatz"/>
        <w:tabs>
          <w:tab w:val="left" w:pos="2127"/>
        </w:tabs>
        <w:ind w:left="2124" w:hanging="1404"/>
      </w:pPr>
      <w:r>
        <w:lastRenderedPageBreak/>
        <w:t>Begründung:</w:t>
      </w:r>
      <w:r>
        <w:tab/>
      </w:r>
      <w:r w:rsidR="00216FAC" w:rsidRPr="00216FAC">
        <w:t xml:space="preserve">Die Bezeichnung "bestmögliche Lösungen" ist wiederum sehr subjektiv. Der Mitwirkungsprozess muss helfen, ausgewogenen Lösungen zu erarbeiten, analog der vom </w:t>
      </w:r>
      <w:r w:rsidR="00B435A4" w:rsidRPr="00216FAC">
        <w:t>Kanton</w:t>
      </w:r>
      <w:r w:rsidR="00216FAC" w:rsidRPr="00216FAC">
        <w:t xml:space="preserve"> angestrebten </w:t>
      </w:r>
      <w:proofErr w:type="spellStart"/>
      <w:r w:rsidR="00216FAC" w:rsidRPr="00216FAC">
        <w:t>Konsent</w:t>
      </w:r>
      <w:proofErr w:type="spellEnd"/>
      <w:r w:rsidR="00216FAC" w:rsidRPr="00216FAC">
        <w:t>-Lösungen.</w:t>
      </w:r>
    </w:p>
    <w:p w14:paraId="01921087" w14:textId="77777777" w:rsidR="00D1333F" w:rsidRDefault="00D1333F" w:rsidP="00216FAC">
      <w:pPr>
        <w:pStyle w:val="Listenabsatz"/>
        <w:tabs>
          <w:tab w:val="left" w:pos="2127"/>
        </w:tabs>
        <w:ind w:left="2124" w:hanging="1404"/>
      </w:pPr>
    </w:p>
    <w:p w14:paraId="16EB4CA8" w14:textId="77777777" w:rsidR="00F27D41" w:rsidRDefault="00F27D41" w:rsidP="00216FAC">
      <w:pPr>
        <w:pStyle w:val="Listenabsatz"/>
        <w:tabs>
          <w:tab w:val="left" w:pos="2127"/>
        </w:tabs>
        <w:ind w:left="2124" w:hanging="1404"/>
      </w:pPr>
    </w:p>
    <w:p w14:paraId="01D20F55" w14:textId="317939D3" w:rsidR="00F27D41" w:rsidRPr="00D1333F" w:rsidRDefault="00F27D41" w:rsidP="00D1333F">
      <w:pPr>
        <w:pStyle w:val="Listenabsatz"/>
        <w:numPr>
          <w:ilvl w:val="0"/>
          <w:numId w:val="1"/>
        </w:numPr>
        <w:tabs>
          <w:tab w:val="left" w:pos="2127"/>
        </w:tabs>
        <w:rPr>
          <w:b/>
          <w:bCs/>
        </w:rPr>
      </w:pPr>
      <w:r w:rsidRPr="00D1333F">
        <w:rPr>
          <w:b/>
          <w:bCs/>
        </w:rPr>
        <w:t xml:space="preserve">Seite 3, Absatz </w:t>
      </w:r>
      <w:r w:rsidR="003123E5" w:rsidRPr="00D1333F">
        <w:rPr>
          <w:b/>
          <w:bCs/>
        </w:rPr>
        <w:t>«Beschlussvermerk»</w:t>
      </w:r>
    </w:p>
    <w:p w14:paraId="740E2BAF" w14:textId="77777777" w:rsidR="003123E5" w:rsidRDefault="003123E5" w:rsidP="00216FAC">
      <w:pPr>
        <w:pStyle w:val="Listenabsatz"/>
        <w:tabs>
          <w:tab w:val="left" w:pos="2127"/>
        </w:tabs>
        <w:ind w:left="2124" w:hanging="1404"/>
      </w:pPr>
    </w:p>
    <w:p w14:paraId="712A2538" w14:textId="61550B36" w:rsidR="003123E5" w:rsidRDefault="003123E5" w:rsidP="002A676A">
      <w:pPr>
        <w:pStyle w:val="Listenabsatz"/>
        <w:ind w:left="2124" w:hanging="1404"/>
      </w:pPr>
      <w:r>
        <w:t>Antrag:</w:t>
      </w:r>
      <w:r>
        <w:tab/>
      </w:r>
      <w:r w:rsidR="0042593B">
        <w:t xml:space="preserve">Einbindung der Grundeigentümer </w:t>
      </w:r>
      <w:r w:rsidR="00762E6C">
        <w:t>in die Liste der Interessenvertretenden</w:t>
      </w:r>
    </w:p>
    <w:p w14:paraId="7DF18096" w14:textId="27AA756A" w:rsidR="00762E6C" w:rsidRPr="00C51E2A" w:rsidRDefault="00762E6C" w:rsidP="00216FAC">
      <w:pPr>
        <w:pStyle w:val="Listenabsatz"/>
        <w:tabs>
          <w:tab w:val="left" w:pos="2127"/>
        </w:tabs>
        <w:ind w:left="2124" w:hanging="1404"/>
      </w:pPr>
      <w:r>
        <w:t>Begründung:</w:t>
      </w:r>
      <w:r>
        <w:tab/>
        <w:t xml:space="preserve">Auch die Grundeigentümer, welche sich zu dieser Charta </w:t>
      </w:r>
      <w:r w:rsidR="00564551">
        <w:t>verpflichten</w:t>
      </w:r>
      <w:r>
        <w:t xml:space="preserve">, müssen </w:t>
      </w:r>
      <w:r w:rsidR="00971040">
        <w:t xml:space="preserve">als Akteure </w:t>
      </w:r>
      <w:r w:rsidR="00564551">
        <w:t>aufgeführt und entsprechend eingebunden werden.</w:t>
      </w:r>
    </w:p>
    <w:p w14:paraId="60E335B6" w14:textId="77777777" w:rsidR="00C4651E" w:rsidRDefault="00C4651E" w:rsidP="00116DBF">
      <w:pPr>
        <w:tabs>
          <w:tab w:val="left" w:pos="2268"/>
        </w:tabs>
      </w:pPr>
    </w:p>
    <w:p w14:paraId="51CCF088" w14:textId="77777777" w:rsidR="0006369B" w:rsidRDefault="0006369B" w:rsidP="00116DBF"/>
    <w:p w14:paraId="578A7445" w14:textId="26A6CC90" w:rsidR="00890D26" w:rsidRDefault="00890D26" w:rsidP="00890D26">
      <w:pPr>
        <w:rPr>
          <w:b/>
          <w:bCs/>
          <w:sz w:val="28"/>
          <w:szCs w:val="28"/>
        </w:rPr>
      </w:pPr>
      <w:r w:rsidRPr="00C51E2A">
        <w:rPr>
          <w:b/>
          <w:bCs/>
          <w:sz w:val="28"/>
          <w:szCs w:val="28"/>
        </w:rPr>
        <w:t xml:space="preserve">Muster-Antworten zur </w:t>
      </w:r>
      <w:r>
        <w:rPr>
          <w:b/>
          <w:bCs/>
          <w:sz w:val="28"/>
          <w:szCs w:val="28"/>
        </w:rPr>
        <w:t>Geschäftsord</w:t>
      </w:r>
      <w:r w:rsidR="00414ADF">
        <w:rPr>
          <w:b/>
          <w:bCs/>
          <w:sz w:val="28"/>
          <w:szCs w:val="28"/>
        </w:rPr>
        <w:t>nung</w:t>
      </w:r>
    </w:p>
    <w:p w14:paraId="3D99C8D8" w14:textId="77777777" w:rsidR="009C64B3" w:rsidRDefault="009C64B3" w:rsidP="002A676A">
      <w:pPr>
        <w:tabs>
          <w:tab w:val="left" w:pos="2127"/>
        </w:tabs>
        <w:rPr>
          <w:b/>
          <w:bCs/>
          <w:sz w:val="28"/>
          <w:szCs w:val="28"/>
        </w:rPr>
      </w:pPr>
    </w:p>
    <w:p w14:paraId="3502481C" w14:textId="6A7D8017" w:rsidR="009C64B3" w:rsidRDefault="009C64B3" w:rsidP="002A676A">
      <w:pPr>
        <w:pStyle w:val="Listenabsatz"/>
        <w:numPr>
          <w:ilvl w:val="0"/>
          <w:numId w:val="1"/>
        </w:numPr>
        <w:tabs>
          <w:tab w:val="left" w:pos="2127"/>
          <w:tab w:val="left" w:pos="2268"/>
        </w:tabs>
        <w:rPr>
          <w:b/>
          <w:bCs/>
        </w:rPr>
      </w:pPr>
      <w:r w:rsidRPr="00C87E8A">
        <w:rPr>
          <w:b/>
          <w:bCs/>
        </w:rPr>
        <w:t xml:space="preserve">Seite </w:t>
      </w:r>
      <w:r w:rsidR="00E215C3">
        <w:rPr>
          <w:b/>
          <w:bCs/>
        </w:rPr>
        <w:t>2</w:t>
      </w:r>
      <w:r w:rsidRPr="00C87E8A">
        <w:rPr>
          <w:b/>
          <w:bCs/>
        </w:rPr>
        <w:t xml:space="preserve">, </w:t>
      </w:r>
      <w:r w:rsidR="009232D0">
        <w:rPr>
          <w:b/>
          <w:bCs/>
        </w:rPr>
        <w:t>Punkt 2.1 «Zuständigkeit»</w:t>
      </w:r>
    </w:p>
    <w:p w14:paraId="268FA865" w14:textId="77777777" w:rsidR="009232D0" w:rsidRPr="002A676A" w:rsidRDefault="009232D0" w:rsidP="002A676A">
      <w:pPr>
        <w:pStyle w:val="Listenabsatz"/>
        <w:ind w:left="2124" w:hanging="1404"/>
      </w:pPr>
    </w:p>
    <w:p w14:paraId="54C30989" w14:textId="1900A0D1" w:rsidR="009232D0" w:rsidRDefault="009232D0" w:rsidP="002A676A">
      <w:pPr>
        <w:pStyle w:val="Listenabsatz"/>
        <w:tabs>
          <w:tab w:val="left" w:pos="2127"/>
        </w:tabs>
        <w:ind w:left="2124" w:hanging="1404"/>
      </w:pPr>
      <w:r>
        <w:t>Antrag:</w:t>
      </w:r>
      <w:r>
        <w:tab/>
      </w:r>
      <w:r w:rsidR="002A676A">
        <w:tab/>
      </w:r>
      <w:r w:rsidR="002A676A" w:rsidRPr="002A676A">
        <w:t>Der angedachte Vierjahres-Arbeitsplan muss auf einen Achtjahres-Arbeitsplan erweitert werden</w:t>
      </w:r>
    </w:p>
    <w:p w14:paraId="5951BEA9" w14:textId="725331A9" w:rsidR="009232D0" w:rsidRDefault="009232D0" w:rsidP="002A676A">
      <w:pPr>
        <w:pStyle w:val="Listenabsatz"/>
        <w:tabs>
          <w:tab w:val="left" w:pos="2127"/>
        </w:tabs>
        <w:ind w:left="2124" w:hanging="1404"/>
      </w:pPr>
      <w:r>
        <w:t>Begründung:</w:t>
      </w:r>
      <w:r>
        <w:tab/>
      </w:r>
      <w:r w:rsidR="00256DEA" w:rsidRPr="00256DEA">
        <w:t>Für direktbetroffenen Akteure, insbesonder</w:t>
      </w:r>
      <w:r w:rsidR="00256DEA">
        <w:t xml:space="preserve">e </w:t>
      </w:r>
      <w:r w:rsidR="00256DEA" w:rsidRPr="00256DEA">
        <w:t>für landwirtschaftliche Betriebe, ist es wichtig, über einen möglichst langen Zeitraum Planungssicherheit zu haben. Mit einem Achtjahres-Arbeitsplan wird diese besser gewährleistet.</w:t>
      </w:r>
    </w:p>
    <w:p w14:paraId="1FC74689" w14:textId="77777777" w:rsidR="009232D0" w:rsidRPr="002A676A" w:rsidRDefault="009232D0" w:rsidP="002A676A">
      <w:pPr>
        <w:pStyle w:val="Listenabsatz"/>
        <w:tabs>
          <w:tab w:val="left" w:pos="2127"/>
        </w:tabs>
        <w:ind w:left="2124" w:hanging="1404"/>
      </w:pPr>
    </w:p>
    <w:p w14:paraId="69EEC6CC" w14:textId="70C70FFA" w:rsidR="003C45B4" w:rsidRDefault="00B92E09" w:rsidP="002A676A">
      <w:pPr>
        <w:pStyle w:val="Listenabsatz"/>
        <w:tabs>
          <w:tab w:val="left" w:pos="2127"/>
        </w:tabs>
        <w:ind w:left="2124" w:hanging="1404"/>
      </w:pPr>
      <w:r>
        <w:t>Antrag:</w:t>
      </w:r>
      <w:r>
        <w:tab/>
      </w:r>
      <w:r w:rsidR="003C45B4" w:rsidRPr="003C45B4">
        <w:t xml:space="preserve">Ergänzung: </w:t>
      </w:r>
      <w:r w:rsidR="001F06E6" w:rsidRPr="003C45B4">
        <w:t xml:space="preserve"> …</w:t>
      </w:r>
      <w:r w:rsidR="003C45B4" w:rsidRPr="003C45B4">
        <w:t xml:space="preserve">entscheidet er über das weitere Vorgehen. Er berücksichtigt die Anliegen der Beteiligten und Direktbetroffenen und präsentiert eine ausgewogenen </w:t>
      </w:r>
      <w:proofErr w:type="spellStart"/>
      <w:r w:rsidR="003C45B4" w:rsidRPr="003C45B4">
        <w:t>Konsentlösung</w:t>
      </w:r>
      <w:proofErr w:type="spellEnd"/>
      <w:r w:rsidR="003C45B4" w:rsidRPr="003C45B4">
        <w:t>.</w:t>
      </w:r>
    </w:p>
    <w:p w14:paraId="2E1FE26D" w14:textId="616C2DD0" w:rsidR="00B92E09" w:rsidRDefault="00B92E09" w:rsidP="002A676A">
      <w:pPr>
        <w:pStyle w:val="Listenabsatz"/>
        <w:tabs>
          <w:tab w:val="left" w:pos="2127"/>
        </w:tabs>
        <w:ind w:left="2124" w:hanging="1404"/>
      </w:pPr>
      <w:r>
        <w:t>Begründung:</w:t>
      </w:r>
      <w:r>
        <w:tab/>
      </w:r>
      <w:r w:rsidR="003C45B4" w:rsidRPr="003C45B4">
        <w:t xml:space="preserve">Der </w:t>
      </w:r>
      <w:proofErr w:type="spellStart"/>
      <w:r w:rsidR="003C45B4" w:rsidRPr="003C45B4">
        <w:t>Thurrat</w:t>
      </w:r>
      <w:proofErr w:type="spellEnd"/>
      <w:r w:rsidR="003C45B4" w:rsidRPr="003C45B4">
        <w:t xml:space="preserve"> muss im Sinne der angestrebten </w:t>
      </w:r>
      <w:proofErr w:type="spellStart"/>
      <w:r w:rsidR="003C45B4" w:rsidRPr="003C45B4">
        <w:t>Konsentlösung</w:t>
      </w:r>
      <w:proofErr w:type="spellEnd"/>
      <w:r w:rsidR="003C45B4" w:rsidRPr="003C45B4">
        <w:t xml:space="preserve"> Rücksicht auf alle Beteiligten und auf die Direktbetroffenen Personen nehmen</w:t>
      </w:r>
      <w:r w:rsidR="00A34306" w:rsidRPr="00A34306">
        <w:t>.</w:t>
      </w:r>
    </w:p>
    <w:p w14:paraId="58DEE8DC" w14:textId="77777777" w:rsidR="00BC63EB" w:rsidRDefault="00BC63EB" w:rsidP="002A676A">
      <w:pPr>
        <w:pStyle w:val="Listenabsatz"/>
        <w:tabs>
          <w:tab w:val="left" w:pos="2127"/>
        </w:tabs>
        <w:ind w:left="2124" w:hanging="1404"/>
      </w:pPr>
    </w:p>
    <w:p w14:paraId="1172A744" w14:textId="77777777" w:rsidR="00BC63EB" w:rsidRDefault="00BC63EB" w:rsidP="002A676A">
      <w:pPr>
        <w:pStyle w:val="Listenabsatz"/>
        <w:tabs>
          <w:tab w:val="left" w:pos="2127"/>
        </w:tabs>
        <w:ind w:left="2124" w:hanging="1404"/>
      </w:pPr>
    </w:p>
    <w:p w14:paraId="49E87CA7" w14:textId="63519C1E" w:rsidR="00262C29" w:rsidRDefault="00BC63EB" w:rsidP="00262C29">
      <w:pPr>
        <w:pStyle w:val="Listenabsatz"/>
        <w:numPr>
          <w:ilvl w:val="0"/>
          <w:numId w:val="1"/>
        </w:numPr>
        <w:tabs>
          <w:tab w:val="left" w:pos="2127"/>
          <w:tab w:val="left" w:pos="2268"/>
        </w:tabs>
        <w:rPr>
          <w:b/>
          <w:bCs/>
        </w:rPr>
      </w:pPr>
      <w:r w:rsidRPr="00C87E8A">
        <w:rPr>
          <w:b/>
          <w:bCs/>
        </w:rPr>
        <w:t xml:space="preserve">Seite </w:t>
      </w:r>
      <w:r>
        <w:rPr>
          <w:b/>
          <w:bCs/>
        </w:rPr>
        <w:t>3</w:t>
      </w:r>
      <w:r w:rsidRPr="00C87E8A">
        <w:rPr>
          <w:b/>
          <w:bCs/>
        </w:rPr>
        <w:t xml:space="preserve">, </w:t>
      </w:r>
      <w:r>
        <w:rPr>
          <w:b/>
          <w:bCs/>
        </w:rPr>
        <w:t>Punkt 2.</w:t>
      </w:r>
      <w:r w:rsidR="00262C29">
        <w:rPr>
          <w:b/>
          <w:bCs/>
        </w:rPr>
        <w:t>2</w:t>
      </w:r>
      <w:r>
        <w:rPr>
          <w:b/>
          <w:bCs/>
        </w:rPr>
        <w:t xml:space="preserve"> «</w:t>
      </w:r>
      <w:r w:rsidR="00262C29">
        <w:rPr>
          <w:b/>
          <w:bCs/>
        </w:rPr>
        <w:t>Zusammensetzung</w:t>
      </w:r>
      <w:r>
        <w:rPr>
          <w:b/>
          <w:bCs/>
        </w:rPr>
        <w:t>»</w:t>
      </w:r>
    </w:p>
    <w:p w14:paraId="682EA717" w14:textId="77777777" w:rsidR="00262C29" w:rsidRDefault="00262C29" w:rsidP="00262C29">
      <w:pPr>
        <w:pStyle w:val="Listenabsatz"/>
        <w:tabs>
          <w:tab w:val="left" w:pos="2127"/>
          <w:tab w:val="left" w:pos="2268"/>
        </w:tabs>
        <w:rPr>
          <w:b/>
          <w:bCs/>
        </w:rPr>
      </w:pPr>
    </w:p>
    <w:p w14:paraId="28639C25" w14:textId="4A89C677" w:rsidR="00262C29" w:rsidRDefault="00262C29" w:rsidP="008C7517">
      <w:pPr>
        <w:pStyle w:val="Listenabsatz"/>
        <w:tabs>
          <w:tab w:val="left" w:pos="2127"/>
        </w:tabs>
      </w:pPr>
      <w:r>
        <w:t>Antrag:</w:t>
      </w:r>
      <w:r>
        <w:tab/>
      </w:r>
      <w:r w:rsidR="00014550">
        <w:t xml:space="preserve">Die IG Thur muss als beratende Stimme im Thur-Rat </w:t>
      </w:r>
      <w:r w:rsidR="00734722">
        <w:t>Einsitz</w:t>
      </w:r>
      <w:r w:rsidR="00014550">
        <w:t xml:space="preserve"> nehmen.</w:t>
      </w:r>
    </w:p>
    <w:p w14:paraId="2F0C3916" w14:textId="75E1DB88" w:rsidR="00262C29" w:rsidRDefault="00262C29" w:rsidP="00014550">
      <w:pPr>
        <w:pStyle w:val="Listenabsatz"/>
        <w:tabs>
          <w:tab w:val="left" w:pos="2127"/>
        </w:tabs>
        <w:ind w:left="2124" w:hanging="1404"/>
      </w:pPr>
      <w:r>
        <w:t>Begründung:</w:t>
      </w:r>
      <w:r>
        <w:tab/>
      </w:r>
      <w:proofErr w:type="spellStart"/>
      <w:r w:rsidR="00014550">
        <w:t>DIe</w:t>
      </w:r>
      <w:proofErr w:type="spellEnd"/>
      <w:r w:rsidR="00014550">
        <w:t xml:space="preserve"> IG Thur setzt sich als Interessengemeinschaft von direktbetroffenen Grundeigentümern und Anstössern entlang der gesamten Thur im Thurgau direkt für die Anliegen dieser Personen ein und kann Ihre Interessen entsprechend im Thur-Rat beratend einbringen. Sie ist gleichzusetzten mit der IG lebendige Thur, welche ebenfalls beratend Einsitz im </w:t>
      </w:r>
      <w:proofErr w:type="spellStart"/>
      <w:r w:rsidR="00014550">
        <w:t>Thurrat</w:t>
      </w:r>
      <w:proofErr w:type="spellEnd"/>
      <w:r w:rsidR="00014550">
        <w:t xml:space="preserve"> hat. Dass die IG lebendige Thur direkten Einsitz im </w:t>
      </w:r>
      <w:proofErr w:type="spellStart"/>
      <w:r w:rsidR="00014550">
        <w:t>Thurrat</w:t>
      </w:r>
      <w:proofErr w:type="spellEnd"/>
      <w:r w:rsidR="00014550">
        <w:t xml:space="preserve"> hat, die IG Thur aber nicht, führt zu einem Ungleichgewicht der beratenden Stimmen im </w:t>
      </w:r>
      <w:proofErr w:type="spellStart"/>
      <w:r w:rsidR="00014550">
        <w:t>Thurrat</w:t>
      </w:r>
      <w:proofErr w:type="spellEnd"/>
      <w:r w:rsidR="00014550">
        <w:t>.</w:t>
      </w:r>
    </w:p>
    <w:p w14:paraId="67800372" w14:textId="77777777" w:rsidR="0010711E" w:rsidRDefault="0010711E" w:rsidP="00014550">
      <w:pPr>
        <w:pStyle w:val="Listenabsatz"/>
        <w:tabs>
          <w:tab w:val="left" w:pos="2127"/>
        </w:tabs>
        <w:ind w:left="2124" w:hanging="1404"/>
      </w:pPr>
    </w:p>
    <w:p w14:paraId="6B83607E" w14:textId="77777777" w:rsidR="0010711E" w:rsidRDefault="0010711E" w:rsidP="002A676A">
      <w:pPr>
        <w:pStyle w:val="Listenabsatz"/>
        <w:tabs>
          <w:tab w:val="left" w:pos="2127"/>
        </w:tabs>
        <w:ind w:left="2124" w:hanging="1404"/>
      </w:pPr>
    </w:p>
    <w:p w14:paraId="4B94F1F9" w14:textId="1D7EC9B9" w:rsidR="00BC63EB" w:rsidRDefault="0010711E" w:rsidP="0010711E">
      <w:pPr>
        <w:pStyle w:val="Listenabsatz"/>
        <w:numPr>
          <w:ilvl w:val="0"/>
          <w:numId w:val="1"/>
        </w:numPr>
        <w:tabs>
          <w:tab w:val="left" w:pos="2127"/>
        </w:tabs>
        <w:rPr>
          <w:b/>
          <w:bCs/>
        </w:rPr>
      </w:pPr>
      <w:r w:rsidRPr="00C87E8A">
        <w:rPr>
          <w:b/>
          <w:bCs/>
        </w:rPr>
        <w:t xml:space="preserve">Seite </w:t>
      </w:r>
      <w:r>
        <w:rPr>
          <w:b/>
          <w:bCs/>
        </w:rPr>
        <w:t>4</w:t>
      </w:r>
      <w:r w:rsidRPr="00C87E8A">
        <w:rPr>
          <w:b/>
          <w:bCs/>
        </w:rPr>
        <w:t xml:space="preserve">, </w:t>
      </w:r>
      <w:r>
        <w:rPr>
          <w:b/>
          <w:bCs/>
        </w:rPr>
        <w:t>Punkt 2.5 «Beschlüsse»</w:t>
      </w:r>
    </w:p>
    <w:p w14:paraId="314B5D74" w14:textId="77777777" w:rsidR="0010711E" w:rsidRDefault="0010711E" w:rsidP="002A676A">
      <w:pPr>
        <w:pStyle w:val="Listenabsatz"/>
        <w:tabs>
          <w:tab w:val="left" w:pos="2127"/>
        </w:tabs>
        <w:ind w:left="2124" w:hanging="1404"/>
        <w:rPr>
          <w:b/>
          <w:bCs/>
        </w:rPr>
      </w:pPr>
    </w:p>
    <w:p w14:paraId="28CB50A3" w14:textId="7A29CCAD" w:rsidR="0010711E" w:rsidRDefault="0010711E" w:rsidP="002A676A">
      <w:pPr>
        <w:pStyle w:val="Listenabsatz"/>
        <w:tabs>
          <w:tab w:val="left" w:pos="2127"/>
        </w:tabs>
        <w:ind w:left="2124" w:hanging="1404"/>
      </w:pPr>
      <w:r>
        <w:t>Antrag:</w:t>
      </w:r>
      <w:r>
        <w:tab/>
      </w:r>
      <w:r w:rsidR="003B6395" w:rsidRPr="003B6395">
        <w:t>St</w:t>
      </w:r>
      <w:r w:rsidR="003B6395">
        <w:t>r</w:t>
      </w:r>
      <w:r w:rsidR="003B6395" w:rsidRPr="003B6395">
        <w:t xml:space="preserve">eichung des </w:t>
      </w:r>
      <w:r w:rsidR="001078C2" w:rsidRPr="003B6395">
        <w:t>Absatzes</w:t>
      </w:r>
      <w:r w:rsidR="003B6395" w:rsidRPr="003B6395">
        <w:t xml:space="preserve"> "Beschlüsse können auch auf dem Zirkularweg gefällt werden. Dabei muss die schriftliche Rückmeldung innerhalb sieben Tagen erfolgen. Unterbleibt eine Rückmeldung, gilt dies als Enthaltung."</w:t>
      </w:r>
    </w:p>
    <w:p w14:paraId="3C2DFE34" w14:textId="21170071" w:rsidR="003B6395" w:rsidRDefault="003B6395" w:rsidP="002A676A">
      <w:pPr>
        <w:pStyle w:val="Listenabsatz"/>
        <w:tabs>
          <w:tab w:val="left" w:pos="2127"/>
        </w:tabs>
        <w:ind w:left="2124" w:hanging="1404"/>
      </w:pPr>
      <w:r>
        <w:lastRenderedPageBreak/>
        <w:t>Begründung:</w:t>
      </w:r>
      <w:r>
        <w:tab/>
      </w:r>
      <w:r w:rsidRPr="003B6395">
        <w:t xml:space="preserve">Entscheidungen des </w:t>
      </w:r>
      <w:proofErr w:type="spellStart"/>
      <w:r w:rsidRPr="003B6395">
        <w:t>Thurrates</w:t>
      </w:r>
      <w:proofErr w:type="spellEnd"/>
      <w:r w:rsidRPr="003B6395">
        <w:t xml:space="preserve"> sollten innerhalb des Gremium</w:t>
      </w:r>
      <w:r w:rsidR="001078C2">
        <w:t>s</w:t>
      </w:r>
      <w:r w:rsidRPr="003B6395">
        <w:t xml:space="preserve"> offen besprochen und gefällt werden. Der Zirkularweg enthält die Gefahr, dass gewisse </w:t>
      </w:r>
      <w:r w:rsidR="001078C2" w:rsidRPr="003B6395">
        <w:t>Informationen</w:t>
      </w:r>
      <w:r w:rsidRPr="003B6395">
        <w:t xml:space="preserve"> unterwegs verloren gehen.</w:t>
      </w:r>
    </w:p>
    <w:p w14:paraId="73D2CB07" w14:textId="77777777" w:rsidR="00ED6756" w:rsidRDefault="00ED6756" w:rsidP="002A676A">
      <w:pPr>
        <w:pStyle w:val="Listenabsatz"/>
        <w:tabs>
          <w:tab w:val="left" w:pos="2127"/>
        </w:tabs>
        <w:ind w:left="2124" w:hanging="1404"/>
      </w:pPr>
    </w:p>
    <w:p w14:paraId="051CB40F" w14:textId="77777777" w:rsidR="007414AB" w:rsidRDefault="007414AB" w:rsidP="002A676A">
      <w:pPr>
        <w:pStyle w:val="Listenabsatz"/>
        <w:tabs>
          <w:tab w:val="left" w:pos="2127"/>
        </w:tabs>
        <w:ind w:left="2124" w:hanging="1404"/>
      </w:pPr>
    </w:p>
    <w:p w14:paraId="6178CF86" w14:textId="61601B90" w:rsidR="00ED6756" w:rsidRDefault="00ED6756" w:rsidP="00ED6756">
      <w:pPr>
        <w:pStyle w:val="Listenabsatz"/>
        <w:numPr>
          <w:ilvl w:val="0"/>
          <w:numId w:val="1"/>
        </w:numPr>
        <w:tabs>
          <w:tab w:val="left" w:pos="2127"/>
        </w:tabs>
        <w:rPr>
          <w:b/>
          <w:bCs/>
        </w:rPr>
      </w:pPr>
      <w:r w:rsidRPr="00C87E8A">
        <w:rPr>
          <w:b/>
          <w:bCs/>
        </w:rPr>
        <w:t xml:space="preserve">Seite </w:t>
      </w:r>
      <w:r>
        <w:rPr>
          <w:b/>
          <w:bCs/>
        </w:rPr>
        <w:t>4</w:t>
      </w:r>
      <w:r w:rsidRPr="00C87E8A">
        <w:rPr>
          <w:b/>
          <w:bCs/>
        </w:rPr>
        <w:t xml:space="preserve">, </w:t>
      </w:r>
      <w:r>
        <w:rPr>
          <w:b/>
          <w:bCs/>
        </w:rPr>
        <w:t>Punkt 2.6 «Kommunikation»</w:t>
      </w:r>
    </w:p>
    <w:p w14:paraId="244D0B99" w14:textId="77777777" w:rsidR="00ED6756" w:rsidRDefault="00ED6756" w:rsidP="00ED6756">
      <w:pPr>
        <w:pStyle w:val="Listenabsatz"/>
        <w:tabs>
          <w:tab w:val="left" w:pos="2127"/>
        </w:tabs>
        <w:rPr>
          <w:b/>
          <w:bCs/>
        </w:rPr>
      </w:pPr>
    </w:p>
    <w:p w14:paraId="522C858B" w14:textId="72D04FCD" w:rsidR="00ED6756" w:rsidRDefault="00ED6756" w:rsidP="00B10335">
      <w:pPr>
        <w:pStyle w:val="Listenabsatz"/>
        <w:tabs>
          <w:tab w:val="left" w:pos="2127"/>
        </w:tabs>
        <w:ind w:left="2124" w:hanging="1404"/>
      </w:pPr>
      <w:r>
        <w:t>Antrag:</w:t>
      </w:r>
      <w:r>
        <w:tab/>
      </w:r>
      <w:r w:rsidR="00B10335">
        <w:tab/>
      </w:r>
      <w:r w:rsidR="00B10335" w:rsidRPr="00B10335">
        <w:t>Ergänzung: Die betroffenen Grundeigentümer werden aktiv und schriftlich über obige Punkte informiert.</w:t>
      </w:r>
    </w:p>
    <w:p w14:paraId="27763997" w14:textId="31AE8F45" w:rsidR="00320032" w:rsidRDefault="00ED6756" w:rsidP="00320032">
      <w:pPr>
        <w:pStyle w:val="Listenabsatz"/>
        <w:tabs>
          <w:tab w:val="left" w:pos="2127"/>
        </w:tabs>
        <w:ind w:left="2124" w:hanging="1404"/>
      </w:pPr>
      <w:r>
        <w:t>Begründung:</w:t>
      </w:r>
      <w:r>
        <w:tab/>
      </w:r>
      <w:r w:rsidR="00B10335" w:rsidRPr="00B10335">
        <w:t xml:space="preserve">Die frühzeitige und offene Kommunikation mit den betroffenen Grundeigentümern ist für das Gelingen von Projekten </w:t>
      </w:r>
      <w:r w:rsidR="00A85FF7" w:rsidRPr="00B10335">
        <w:t>essenziell</w:t>
      </w:r>
      <w:r w:rsidR="00B10335" w:rsidRPr="00B10335">
        <w:t>. Die aktive, schriftliche Kommunikation des Kantons mit diesen Grundeigentümern schafft von Anfang an Vertrauen und zeigt Offenheit.</w:t>
      </w:r>
    </w:p>
    <w:p w14:paraId="70A7E97D" w14:textId="77777777" w:rsidR="00320032" w:rsidRDefault="00320032" w:rsidP="00320032">
      <w:pPr>
        <w:pStyle w:val="Listenabsatz"/>
        <w:tabs>
          <w:tab w:val="left" w:pos="2127"/>
        </w:tabs>
        <w:ind w:left="2124" w:hanging="1404"/>
      </w:pPr>
    </w:p>
    <w:p w14:paraId="43D8CBF8" w14:textId="63612458" w:rsidR="005D643D" w:rsidRPr="005D643D" w:rsidRDefault="00320032" w:rsidP="005D643D">
      <w:pPr>
        <w:pStyle w:val="Listenabsatz"/>
        <w:numPr>
          <w:ilvl w:val="0"/>
          <w:numId w:val="1"/>
        </w:numPr>
        <w:tabs>
          <w:tab w:val="left" w:pos="2127"/>
        </w:tabs>
        <w:rPr>
          <w:b/>
          <w:bCs/>
        </w:rPr>
      </w:pPr>
      <w:r w:rsidRPr="00C87E8A">
        <w:rPr>
          <w:b/>
          <w:bCs/>
        </w:rPr>
        <w:t xml:space="preserve">Seite </w:t>
      </w:r>
      <w:r>
        <w:rPr>
          <w:b/>
          <w:bCs/>
        </w:rPr>
        <w:t>5</w:t>
      </w:r>
      <w:r w:rsidRPr="00C87E8A">
        <w:rPr>
          <w:b/>
          <w:bCs/>
        </w:rPr>
        <w:t xml:space="preserve">, </w:t>
      </w:r>
      <w:r w:rsidR="00B27299" w:rsidRPr="00933E93">
        <w:rPr>
          <w:b/>
          <w:bCs/>
        </w:rPr>
        <w:t>Absatz</w:t>
      </w:r>
      <w:r w:rsidR="005D643D" w:rsidRPr="00933E93">
        <w:rPr>
          <w:b/>
          <w:bCs/>
        </w:rPr>
        <w:t xml:space="preserve"> 3.1.1.1. «</w:t>
      </w:r>
      <w:r w:rsidR="00B27299" w:rsidRPr="00933E93">
        <w:rPr>
          <w:b/>
          <w:bCs/>
        </w:rPr>
        <w:t>Ziel</w:t>
      </w:r>
      <w:r w:rsidR="005D643D" w:rsidRPr="00933E93">
        <w:rPr>
          <w:b/>
          <w:bCs/>
        </w:rPr>
        <w:t>»</w:t>
      </w:r>
    </w:p>
    <w:p w14:paraId="3300842F" w14:textId="77777777" w:rsidR="005D643D" w:rsidRPr="005D643D" w:rsidRDefault="005D643D" w:rsidP="005D643D">
      <w:pPr>
        <w:pStyle w:val="Listenabsatz"/>
        <w:tabs>
          <w:tab w:val="left" w:pos="2127"/>
        </w:tabs>
        <w:rPr>
          <w:b/>
          <w:bCs/>
        </w:rPr>
      </w:pPr>
    </w:p>
    <w:p w14:paraId="15F81647" w14:textId="6A3AEAF2" w:rsidR="005D643D" w:rsidRDefault="005D643D" w:rsidP="005D643D">
      <w:pPr>
        <w:pStyle w:val="Listenabsatz"/>
        <w:tabs>
          <w:tab w:val="left" w:pos="2127"/>
        </w:tabs>
        <w:ind w:left="2124" w:hanging="1404"/>
      </w:pPr>
      <w:r w:rsidRPr="005D643D">
        <w:t>Antrag:</w:t>
      </w:r>
      <w:r>
        <w:tab/>
      </w:r>
      <w:r>
        <w:tab/>
      </w:r>
      <w:r w:rsidRPr="005D643D">
        <w:t>Anpassung: "bestmöglich" wird durch "ausgewogen" ersetzt; ... sodass gemeinsam ausgewogenen und möglichst breit abg</w:t>
      </w:r>
      <w:r w:rsidR="00E34DE1">
        <w:t>e</w:t>
      </w:r>
      <w:r w:rsidRPr="005D643D">
        <w:t>stützte Lösungen erarbeitet werden können.</w:t>
      </w:r>
    </w:p>
    <w:p w14:paraId="0D851D7F" w14:textId="24EDAAA9" w:rsidR="005D643D" w:rsidRDefault="005D643D" w:rsidP="005D643D">
      <w:pPr>
        <w:pStyle w:val="Listenabsatz"/>
        <w:tabs>
          <w:tab w:val="left" w:pos="2127"/>
        </w:tabs>
        <w:ind w:left="2124" w:hanging="1404"/>
      </w:pPr>
      <w:r>
        <w:t>Begründung:</w:t>
      </w:r>
      <w:r>
        <w:tab/>
      </w:r>
      <w:r w:rsidR="00E34DE1">
        <w:t>D</w:t>
      </w:r>
      <w:r w:rsidR="00E34DE1" w:rsidRPr="00E34DE1">
        <w:t>er Ausdruck "bestmöglich" ist wiederum sehr subjektiv. Der Mitwirkungsprozess muss aber vor allem ausgewogenen Lösungen erarbeiten.</w:t>
      </w:r>
    </w:p>
    <w:p w14:paraId="2C9D9C59" w14:textId="77777777" w:rsidR="00CD29E6" w:rsidRDefault="00CD29E6" w:rsidP="005D643D">
      <w:pPr>
        <w:pStyle w:val="Listenabsatz"/>
        <w:tabs>
          <w:tab w:val="left" w:pos="2127"/>
        </w:tabs>
        <w:ind w:left="2124" w:hanging="1404"/>
      </w:pPr>
    </w:p>
    <w:p w14:paraId="0997CC0E" w14:textId="737EF742" w:rsidR="00535931" w:rsidRDefault="00CD29E6" w:rsidP="00535931">
      <w:pPr>
        <w:pStyle w:val="Listenabsatz"/>
        <w:numPr>
          <w:ilvl w:val="0"/>
          <w:numId w:val="1"/>
        </w:numPr>
        <w:tabs>
          <w:tab w:val="left" w:pos="2127"/>
        </w:tabs>
        <w:rPr>
          <w:b/>
          <w:bCs/>
        </w:rPr>
      </w:pPr>
      <w:r w:rsidRPr="00C87E8A">
        <w:rPr>
          <w:b/>
          <w:bCs/>
        </w:rPr>
        <w:t xml:space="preserve">Seite </w:t>
      </w:r>
      <w:r>
        <w:rPr>
          <w:b/>
          <w:bCs/>
        </w:rPr>
        <w:t>9</w:t>
      </w:r>
      <w:r w:rsidRPr="00C87E8A">
        <w:rPr>
          <w:b/>
          <w:bCs/>
        </w:rPr>
        <w:t xml:space="preserve">, </w:t>
      </w:r>
      <w:r w:rsidRPr="00933E93">
        <w:rPr>
          <w:b/>
          <w:bCs/>
        </w:rPr>
        <w:t xml:space="preserve">Absatz </w:t>
      </w:r>
      <w:r w:rsidR="00535931">
        <w:rPr>
          <w:b/>
          <w:bCs/>
        </w:rPr>
        <w:t>3.2.1</w:t>
      </w:r>
      <w:r w:rsidRPr="00933E93">
        <w:rPr>
          <w:b/>
          <w:bCs/>
        </w:rPr>
        <w:t>. «</w:t>
      </w:r>
      <w:r w:rsidR="00535931">
        <w:rPr>
          <w:b/>
          <w:bCs/>
        </w:rPr>
        <w:t>Grundsatz</w:t>
      </w:r>
      <w:r w:rsidRPr="00933E93">
        <w:rPr>
          <w:b/>
          <w:bCs/>
        </w:rPr>
        <w:t>»</w:t>
      </w:r>
    </w:p>
    <w:p w14:paraId="0D0BBEAE" w14:textId="77777777" w:rsidR="00535931" w:rsidRDefault="00535931" w:rsidP="00535931">
      <w:pPr>
        <w:pStyle w:val="Listenabsatz"/>
        <w:tabs>
          <w:tab w:val="left" w:pos="2127"/>
        </w:tabs>
        <w:rPr>
          <w:b/>
          <w:bCs/>
        </w:rPr>
      </w:pPr>
    </w:p>
    <w:p w14:paraId="76770BC4" w14:textId="51F716DE" w:rsidR="00535931" w:rsidRDefault="00535931" w:rsidP="00535931">
      <w:pPr>
        <w:pStyle w:val="Listenabsatz"/>
        <w:tabs>
          <w:tab w:val="left" w:pos="2127"/>
        </w:tabs>
        <w:ind w:left="2124" w:hanging="1404"/>
      </w:pPr>
      <w:r w:rsidRPr="005D643D">
        <w:t>Antrag:</w:t>
      </w:r>
      <w:r>
        <w:tab/>
      </w:r>
      <w:r w:rsidR="00F16D61" w:rsidRPr="00F16D61">
        <w:t>Ergänzung: "Die betroffenen Grundeigentümer/innen und Anstösser/innen sind frühzeitig auf regionaler Ebene in das Korrektionsprojekt miteinzubeziehen.</w:t>
      </w:r>
      <w:r>
        <w:tab/>
      </w:r>
    </w:p>
    <w:p w14:paraId="500B4FDE" w14:textId="29300403" w:rsidR="00535931" w:rsidRDefault="00535931" w:rsidP="00535931">
      <w:pPr>
        <w:pStyle w:val="Listenabsatz"/>
        <w:tabs>
          <w:tab w:val="left" w:pos="2127"/>
        </w:tabs>
        <w:ind w:left="2124" w:hanging="1404"/>
      </w:pPr>
      <w:r>
        <w:t>Begründung:</w:t>
      </w:r>
      <w:r>
        <w:tab/>
      </w:r>
      <w:r w:rsidR="00F16D61" w:rsidRPr="00F16D61">
        <w:t>Betroffenen Grundeigentümer und Anstösser müssen bereits auf regionaler Ebene über angedachte Projekte informiert und miteinbezogen werden, wenn solche auf oder angrenzend an ihren Grundbesitz angedacht sind.</w:t>
      </w:r>
    </w:p>
    <w:p w14:paraId="08FD3F6E" w14:textId="77777777" w:rsidR="00535931" w:rsidRDefault="00535931" w:rsidP="00535931">
      <w:pPr>
        <w:pStyle w:val="Listenabsatz"/>
        <w:tabs>
          <w:tab w:val="left" w:pos="2127"/>
        </w:tabs>
        <w:rPr>
          <w:b/>
          <w:bCs/>
        </w:rPr>
      </w:pPr>
    </w:p>
    <w:p w14:paraId="130C1806" w14:textId="2C497066" w:rsidR="002C5EB8" w:rsidRDefault="00F16D61" w:rsidP="00F16D61">
      <w:pPr>
        <w:pStyle w:val="Listenabsatz"/>
        <w:tabs>
          <w:tab w:val="left" w:pos="2127"/>
        </w:tabs>
        <w:ind w:left="2124" w:hanging="1404"/>
      </w:pPr>
      <w:r w:rsidRPr="005D643D">
        <w:t>Antrag:</w:t>
      </w:r>
      <w:r>
        <w:tab/>
      </w:r>
      <w:r w:rsidR="002C5EB8" w:rsidRPr="002C5EB8">
        <w:t>Ergänzung: Interessenabwägung und die angemessene Berücksichtigung der öffentlichen sowie privatrechtlichen Interessen im S</w:t>
      </w:r>
      <w:r w:rsidR="00BB79C6">
        <w:t>i</w:t>
      </w:r>
      <w:r w:rsidR="002C5EB8" w:rsidRPr="002C5EB8">
        <w:t>nne der erwähnten Gesetzgebung sind aufzuzeigen.</w:t>
      </w:r>
    </w:p>
    <w:p w14:paraId="4CCB304E" w14:textId="7FA98B4C" w:rsidR="00F16D61" w:rsidRDefault="00F16D61" w:rsidP="002C5EB8">
      <w:pPr>
        <w:pStyle w:val="Listenabsatz"/>
        <w:tabs>
          <w:tab w:val="left" w:pos="2127"/>
        </w:tabs>
        <w:ind w:left="2124" w:hanging="1404"/>
      </w:pPr>
      <w:r>
        <w:t>Begründung:</w:t>
      </w:r>
      <w:r>
        <w:tab/>
      </w:r>
      <w:r w:rsidR="00BB79C6" w:rsidRPr="00BB79C6">
        <w:t>Bei Interessenabwägungen sind die privatrechtlichen Interessen unbedingt zu berücksichtigen.</w:t>
      </w:r>
    </w:p>
    <w:p w14:paraId="18A2750E" w14:textId="77777777" w:rsidR="008118F6" w:rsidRDefault="008118F6" w:rsidP="008118F6">
      <w:pPr>
        <w:tabs>
          <w:tab w:val="left" w:pos="2127"/>
        </w:tabs>
        <w:rPr>
          <w:b/>
          <w:bCs/>
        </w:rPr>
      </w:pPr>
    </w:p>
    <w:p w14:paraId="3387ED07" w14:textId="77777777" w:rsidR="008118F6" w:rsidRDefault="008118F6" w:rsidP="008118F6">
      <w:pPr>
        <w:tabs>
          <w:tab w:val="left" w:pos="2127"/>
        </w:tabs>
        <w:rPr>
          <w:b/>
          <w:bCs/>
        </w:rPr>
      </w:pPr>
    </w:p>
    <w:p w14:paraId="1EED6795" w14:textId="0EB51476" w:rsidR="008118F6" w:rsidRDefault="00671BDA" w:rsidP="008118F6">
      <w:pPr>
        <w:tabs>
          <w:tab w:val="left" w:pos="2127"/>
        </w:tabs>
      </w:pPr>
      <w:r>
        <w:t xml:space="preserve">Dies sind sämtliche Punkte, welche wir als nötig erachten. Selbstverständlich können sie </w:t>
      </w:r>
      <w:r w:rsidR="00BC533F">
        <w:t>die Aussagen ergänzen, ändern oder neue Aussagen hinzufügen.</w:t>
      </w:r>
    </w:p>
    <w:p w14:paraId="22FEA8D8" w14:textId="77777777" w:rsidR="00BC533F" w:rsidRDefault="00BC533F" w:rsidP="008118F6">
      <w:pPr>
        <w:tabs>
          <w:tab w:val="left" w:pos="2127"/>
        </w:tabs>
      </w:pPr>
    </w:p>
    <w:p w14:paraId="03713827" w14:textId="57903255" w:rsidR="00BC533F" w:rsidRDefault="00BC533F" w:rsidP="008118F6">
      <w:pPr>
        <w:tabs>
          <w:tab w:val="left" w:pos="2127"/>
        </w:tabs>
      </w:pPr>
      <w:r>
        <w:t>Vielen Dank für ihr Engagement</w:t>
      </w:r>
    </w:p>
    <w:p w14:paraId="5F1BC396" w14:textId="77777777" w:rsidR="00320094" w:rsidRDefault="00320094" w:rsidP="008118F6">
      <w:pPr>
        <w:tabs>
          <w:tab w:val="left" w:pos="2127"/>
        </w:tabs>
      </w:pPr>
    </w:p>
    <w:p w14:paraId="5FF618DB" w14:textId="735F6CEC" w:rsidR="00320094" w:rsidRDefault="00320094" w:rsidP="008118F6">
      <w:pPr>
        <w:tabs>
          <w:tab w:val="left" w:pos="2127"/>
        </w:tabs>
      </w:pPr>
      <w:r>
        <w:t>Mit freundlichen Grüssen</w:t>
      </w:r>
    </w:p>
    <w:p w14:paraId="4591A56F" w14:textId="712E663D" w:rsidR="00320094" w:rsidRDefault="00997FCD" w:rsidP="008118F6">
      <w:pPr>
        <w:tabs>
          <w:tab w:val="left" w:pos="2127"/>
        </w:tabs>
      </w:pPr>
      <w:r>
        <w:t>Muster Muster</w:t>
      </w:r>
    </w:p>
    <w:p w14:paraId="1EA64068" w14:textId="77777777" w:rsidR="007414AB" w:rsidRPr="00953DFE" w:rsidRDefault="007414AB" w:rsidP="00320032">
      <w:pPr>
        <w:tabs>
          <w:tab w:val="left" w:pos="2127"/>
        </w:tabs>
      </w:pPr>
    </w:p>
    <w:sectPr w:rsidR="007414AB" w:rsidRPr="00953DFE" w:rsidSect="00792A07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3CF7"/>
    <w:multiLevelType w:val="hybridMultilevel"/>
    <w:tmpl w:val="73224664"/>
    <w:lvl w:ilvl="0" w:tplc="2476356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70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59"/>
    <w:rsid w:val="00002D5C"/>
    <w:rsid w:val="00014550"/>
    <w:rsid w:val="00062C23"/>
    <w:rsid w:val="0006369B"/>
    <w:rsid w:val="000E0688"/>
    <w:rsid w:val="000E2242"/>
    <w:rsid w:val="000F1814"/>
    <w:rsid w:val="0010711E"/>
    <w:rsid w:val="001078C2"/>
    <w:rsid w:val="00116DBF"/>
    <w:rsid w:val="001368D1"/>
    <w:rsid w:val="00153011"/>
    <w:rsid w:val="001777B7"/>
    <w:rsid w:val="001B37C2"/>
    <w:rsid w:val="001F06E6"/>
    <w:rsid w:val="00216FAC"/>
    <w:rsid w:val="00256DEA"/>
    <w:rsid w:val="00262C29"/>
    <w:rsid w:val="002852A0"/>
    <w:rsid w:val="0029714A"/>
    <w:rsid w:val="002A0798"/>
    <w:rsid w:val="002A676A"/>
    <w:rsid w:val="002B63FC"/>
    <w:rsid w:val="002C5EB8"/>
    <w:rsid w:val="002D6FF9"/>
    <w:rsid w:val="002F49C5"/>
    <w:rsid w:val="00310DDF"/>
    <w:rsid w:val="003123E5"/>
    <w:rsid w:val="00320032"/>
    <w:rsid w:val="00320094"/>
    <w:rsid w:val="00327171"/>
    <w:rsid w:val="003A377A"/>
    <w:rsid w:val="003A5682"/>
    <w:rsid w:val="003B6395"/>
    <w:rsid w:val="003C45B4"/>
    <w:rsid w:val="00414ADF"/>
    <w:rsid w:val="004222A7"/>
    <w:rsid w:val="0042593B"/>
    <w:rsid w:val="004822EE"/>
    <w:rsid w:val="00491144"/>
    <w:rsid w:val="004A6F2D"/>
    <w:rsid w:val="00535931"/>
    <w:rsid w:val="0054418F"/>
    <w:rsid w:val="00564551"/>
    <w:rsid w:val="00595B5D"/>
    <w:rsid w:val="005D643D"/>
    <w:rsid w:val="00626DD5"/>
    <w:rsid w:val="00671BDA"/>
    <w:rsid w:val="006878A1"/>
    <w:rsid w:val="00694EEB"/>
    <w:rsid w:val="006E4B25"/>
    <w:rsid w:val="00734722"/>
    <w:rsid w:val="007414AB"/>
    <w:rsid w:val="00762E6C"/>
    <w:rsid w:val="0078020C"/>
    <w:rsid w:val="00792A07"/>
    <w:rsid w:val="007B784A"/>
    <w:rsid w:val="007D5524"/>
    <w:rsid w:val="008118F6"/>
    <w:rsid w:val="00837883"/>
    <w:rsid w:val="00890D26"/>
    <w:rsid w:val="008C7517"/>
    <w:rsid w:val="00911814"/>
    <w:rsid w:val="009232D0"/>
    <w:rsid w:val="00933E93"/>
    <w:rsid w:val="00936D77"/>
    <w:rsid w:val="00953DFE"/>
    <w:rsid w:val="00961F26"/>
    <w:rsid w:val="009662F6"/>
    <w:rsid w:val="00971040"/>
    <w:rsid w:val="009723F3"/>
    <w:rsid w:val="00995959"/>
    <w:rsid w:val="00997FCD"/>
    <w:rsid w:val="009C1D72"/>
    <w:rsid w:val="009C64B3"/>
    <w:rsid w:val="009C702F"/>
    <w:rsid w:val="00A04ABC"/>
    <w:rsid w:val="00A34306"/>
    <w:rsid w:val="00A85FF7"/>
    <w:rsid w:val="00AB0792"/>
    <w:rsid w:val="00AB4E5F"/>
    <w:rsid w:val="00AD5BDF"/>
    <w:rsid w:val="00AF3218"/>
    <w:rsid w:val="00B10335"/>
    <w:rsid w:val="00B27299"/>
    <w:rsid w:val="00B35262"/>
    <w:rsid w:val="00B435A4"/>
    <w:rsid w:val="00B90DC9"/>
    <w:rsid w:val="00B91341"/>
    <w:rsid w:val="00B92E09"/>
    <w:rsid w:val="00B96F1F"/>
    <w:rsid w:val="00BB63B9"/>
    <w:rsid w:val="00BB64C5"/>
    <w:rsid w:val="00BB79C6"/>
    <w:rsid w:val="00BC533F"/>
    <w:rsid w:val="00BC63EB"/>
    <w:rsid w:val="00BD0766"/>
    <w:rsid w:val="00BD6E7E"/>
    <w:rsid w:val="00C31DEC"/>
    <w:rsid w:val="00C4651E"/>
    <w:rsid w:val="00C51E2A"/>
    <w:rsid w:val="00C85EFE"/>
    <w:rsid w:val="00C87E8A"/>
    <w:rsid w:val="00CD0577"/>
    <w:rsid w:val="00CD29E6"/>
    <w:rsid w:val="00CE26F0"/>
    <w:rsid w:val="00D1333F"/>
    <w:rsid w:val="00D444E8"/>
    <w:rsid w:val="00D64F26"/>
    <w:rsid w:val="00D858FE"/>
    <w:rsid w:val="00DB0EC4"/>
    <w:rsid w:val="00DC6521"/>
    <w:rsid w:val="00E215C3"/>
    <w:rsid w:val="00E34DE1"/>
    <w:rsid w:val="00ED6756"/>
    <w:rsid w:val="00F16D61"/>
    <w:rsid w:val="00F22276"/>
    <w:rsid w:val="00F27D41"/>
    <w:rsid w:val="00F93B73"/>
    <w:rsid w:val="00F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41D6B"/>
  <w15:chartTrackingRefBased/>
  <w15:docId w15:val="{22B76B20-7C6E-4191-9785-C581754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59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59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959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59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59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959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59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59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59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59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59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959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595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595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595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595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595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595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959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5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959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59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959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9595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9595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9595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959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9595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9595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9662F6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2F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662F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Gubler</dc:creator>
  <cp:keywords/>
  <dc:description/>
  <cp:lastModifiedBy>Rolf Kuhn</cp:lastModifiedBy>
  <cp:revision>4</cp:revision>
  <cp:lastPrinted>2024-01-18T13:16:00Z</cp:lastPrinted>
  <dcterms:created xsi:type="dcterms:W3CDTF">2024-02-04T15:50:00Z</dcterms:created>
  <dcterms:modified xsi:type="dcterms:W3CDTF">2024-02-24T18:20:00Z</dcterms:modified>
</cp:coreProperties>
</file>